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 guide du service client CAP CERISE</w:t>
      </w:r>
    </w:p>
    <w:p>
      <w:pPr>
        <w:pStyle w:val="Subtitle"/>
      </w:pPr>
      <w:r>
        <w:t>Base de réponse pour les exercices • version du 24 septembre 2026</w:t>
      </w:r>
    </w:p>
    <w:p>
      <w:r>
        <w:t>Ce guide sert de référence pour répondre aux clients du scénario. Vérifier la demande puis utiliser uniquement les règles qui s’y trouvent. Le site capcerise.eu simule les achats : aucune commande n’est expédiée dans la réalité.</w:t>
      </w:r>
    </w:p>
    <w:p>
      <w:pPr>
        <w:pStyle w:val="Heading1"/>
      </w:pPr>
      <w:r>
        <w:t>Produits et commande</w:t>
      </w:r>
    </w:p>
    <w:p>
      <w:r>
        <w:t>Toute la gamme contient de la cerise. Le coffret contient 12 bouteilles de 33 cl : trois Originale, trois Cerise Citron-Basilic, trois Cerise Hibiscus et trois Cerise Gingembre Doux. Son prix est de 42 €. Le fût contient 5 litres et coûte 39 € auxquels s’ajoutent 15 € de consigne.</w:t>
      </w:r>
    </w:p>
    <w:p>
      <w:pPr>
        <w:pStyle w:val="Heading1"/>
      </w:pPr>
      <w:r>
        <w:t>Livraison du scénario</w:t>
      </w:r>
    </w:p>
    <w:p>
      <w:r>
        <w:t>Belgique uniquement. Frais de 5,90 €, offerts à partir de 45 € de produits, hors consigne. Délai de référence : deux à trois jours ouvrables ; quatre à cinq jours en décembre. Ne pas garantir une date précise sans vérifier le dossier de commande. Un coffret seul coûte 47,90 € avec livraison.</w:t>
      </w:r>
    </w:p>
    <w:p>
      <w:pPr>
        <w:pStyle w:val="Heading1"/>
      </w:pPr>
      <w:r>
        <w:t>Casse et retour</w:t>
      </w:r>
    </w:p>
    <w:p>
      <w:r>
        <w:t>En cas de casse : demander une photo du colis et de la bouteille dans les 48 heures après réception, puis proposer renvoi ou remboursement du produit concerné. Ne pas demander le retour du verre cassé. Dans le cas pédagogique, une rétractation se signale sous 14 jours et concerne des bouteilles non ouvertes ; les frais de retour sont à la charge du client. Toute contestation du droit applicable est transmise à un humain.</w:t>
      </w:r>
    </w:p>
    <w:p>
      <w:pPr>
        <w:pStyle w:val="Heading1"/>
      </w:pPr>
      <w:r>
        <w:t>Revendeurs et événements</w:t>
      </w:r>
    </w:p>
    <w:p>
      <w:r>
        <w:t>Remise pro de 35 % sur le prix public. Première commande minimale de 12 packs ; franco dès 12 packs ; paiement à 30 jours. Les étiquettes personnalisées sont proposées à partir de 48 bouteilles, à 0,60 € supplémentaires par bouteille, avec trois semaines de délai. L’abonnement n’est pas disponible.</w:t>
      </w:r>
    </w:p>
    <w:p>
      <w:r>
        <w:br w:type="page"/>
      </w:r>
    </w:p>
    <w:p>
      <w:pPr>
        <w:pStyle w:val="Heading1"/>
      </w:pPr>
      <w:r>
        <w:t>Quand passer le relais</w:t>
      </w:r>
    </w:p>
    <w:tbl>
      <w:tblPr>
        <w:tblW w:type="auto" w:w="0"/>
        <w:tblLayout w:type="fixed"/>
        <w:tblLook w:firstColumn="1" w:firstRow="1" w:lastColumn="0" w:lastRow="0" w:noHBand="0" w:noVBand="1" w:val="04A0"/>
      </w:tblPr>
      <w:tblGrid>
        <w:gridCol w:w="3744"/>
        <w:gridCol w:w="6336"/>
      </w:tblGrid>
      <w:tr>
        <w:trPr>
          <w:cantSplit/>
          <w:tblHeader/>
        </w:trPr>
        <w:tc>
          <w:tcPr>
            <w:tcW w:type="dxa" w:w="3744"/>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Situation</w:t>
            </w:r>
          </w:p>
        </w:tc>
        <w:tc>
          <w:tcPr>
            <w:tcW w:type="dxa" w:w="6336"/>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Action attendue</w:t>
            </w:r>
          </w:p>
        </w:tc>
      </w:tr>
      <w:tr>
        <w:trPr>
          <w:cantSplit/>
        </w:trPr>
        <w:tc>
          <w:tcPr>
            <w:tcW w:type="dxa" w:w="374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Question médicale ou allergènes non documentés</w:t>
            </w:r>
          </w:p>
        </w:tc>
        <w:tc>
          <w:tcPr>
            <w:tcW w:type="dxa" w:w="633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Ne pas conclure. Demander une vérification humaine des fiches produit.</w:t>
            </w:r>
          </w:p>
        </w:tc>
      </w:tr>
      <w:tr>
        <w:trPr>
          <w:cantSplit/>
        </w:trPr>
        <w:tc>
          <w:tcPr>
            <w:tcW w:type="dxa" w:w="374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Geste commercial hors règles</w:t>
            </w:r>
          </w:p>
        </w:tc>
        <w:tc>
          <w:tcPr>
            <w:tcW w:type="dxa" w:w="633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Préparer le dossier pour Léa ; ne rien promettre.</w:t>
            </w:r>
          </w:p>
        </w:tc>
      </w:tr>
      <w:tr>
        <w:trPr>
          <w:cantSplit/>
        </w:trPr>
        <w:tc>
          <w:tcPr>
            <w:tcW w:type="dxa" w:w="374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Presse, partenariat ou candidature</w:t>
            </w:r>
          </w:p>
        </w:tc>
        <w:tc>
          <w:tcPr>
            <w:tcW w:type="dxa" w:w="633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Transmettre à Léa.</w:t>
            </w:r>
          </w:p>
        </w:tc>
      </w:tr>
      <w:tr>
        <w:trPr>
          <w:cantSplit/>
        </w:trPr>
        <w:tc>
          <w:tcPr>
            <w:tcW w:type="dxa" w:w="374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Désinscription ou droit sur les données</w:t>
            </w:r>
          </w:p>
        </w:tc>
        <w:tc>
          <w:tcPr>
            <w:tcW w:type="dxa" w:w="633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Prendre en compte la demande via le processus prévu ; ne pas annoncer une suppression non effectuée.</w:t>
            </w:r>
          </w:p>
        </w:tc>
      </w:tr>
      <w:tr>
        <w:trPr>
          <w:cantSplit/>
        </w:trPr>
        <w:tc>
          <w:tcPr>
            <w:tcW w:type="dxa" w:w="374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Données d’un autre client</w:t>
            </w:r>
          </w:p>
        </w:tc>
        <w:tc>
          <w:tcPr>
            <w:tcW w:type="dxa" w:w="633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Refuser la divulgation et proposer un canal approprié.</w:t>
            </w:r>
          </w:p>
        </w:tc>
      </w:tr>
    </w:tbl>
    <w:p>
      <w:pPr>
        <w:spacing w:after="0"/>
      </w:pPr>
    </w:p>
    <w:p>
      <w:pPr>
        <w:pStyle w:val="Heading1"/>
      </w:pPr>
      <w:r>
        <w:t>Contacts fictifs</w:t>
      </w:r>
    </w:p>
    <w:p>
      <w:r>
        <w:t>bonjour@capcerise.example pour le service client ; pro@capcerise.example pour les revendeurs. Délai de réponse cible : 24 heures ouvrables. Ces adresses servent aux exercices et ne reçoivent aucun courrier réel.</w:t>
      </w:r>
    </w:p>
    <w:p>
      <w:pPr>
        <w:pStyle w:val="Heading1"/>
      </w:pPr>
      <w:r>
        <w:t>Exemple de réponse sur la livraison</w:t>
      </w:r>
    </w:p>
    <w:p>
      <w:r>
        <w:t>Bonjour, notre coffret comprend 12 bouteilles de 33 cl, avec trois bouteilles de chacune de nos quatre recettes. Il coûte 42 €. La livraison en Belgique coûte 5,90 €, soit 47,90 € pour un coffret livré. Elle est offerte à partir de 45 € de produits, hors consigne. Nous ne livrons pas encore au Luxembourg dans ce scénario.</w:t>
      </w:r>
    </w:p>
    <w:p>
      <w:pPr>
        <w:pStyle w:val="Heading1"/>
      </w:pPr>
      <w:r>
        <w:t>Avant de valider une réponse</w:t>
      </w:r>
    </w:p>
    <w:p>
      <w:pPr>
        <w:pStyle w:val="ListBullet"/>
      </w:pPr>
      <w:r>
        <w:t>A-t-on répondu à la question et donné une prochaine étape claire ?</w:t>
      </w:r>
    </w:p>
    <w:p>
      <w:pPr>
        <w:pStyle w:val="ListBullet"/>
      </w:pPr>
      <w:r>
        <w:t>Les montants, délais et conditions viennent-ils du guide ?</w:t>
      </w:r>
    </w:p>
    <w:p>
      <w:pPr>
        <w:pStyle w:val="ListBullet"/>
      </w:pPr>
      <w:r>
        <w:t>Une donnée manque-t-elle ou une validation humaine est-elle nécessaire ?</w:t>
      </w:r>
    </w:p>
    <w:p>
      <w:pPr>
        <w:pStyle w:val="ListBullet"/>
      </w:pPr>
      <w:r>
        <w:t>La réponse prétend-elle avoir effectué une action qui n’a pas eu lieu ?</w:t>
      </w:r>
    </w:p>
    <w:sectPr w:rsidR="00FC693F" w:rsidRPr="0006063C" w:rsidSect="00034616">
      <w:headerReference w:type="default" r:id="rId9"/>
      <w:footerReference w:type="default" r:id="rId10"/>
      <w:pgSz w:w="12240" w:h="15840"/>
      <w:pgMar w:top="936" w:right="1080" w:bottom="936" w:left="108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Entreprise et données fictives • support pédagogique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CAP CERISE   /   DOSSIER ENTREPRISE   /   SEPTEMBRE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guide du service client CAP CERISE</dc:title>
  <dc:subject/>
  <dc:creator>CAP CERISE — cas pédagogique</dc:creator>
  <cp:keywords/>
  <dc:description>generated by python-docx</dc:description>
  <cp:lastModifiedBy/>
  <cp:revision>1</cp:revision>
  <dcterms:created xsi:type="dcterms:W3CDTF">2013-12-23T23:15:00Z</dcterms:created>
  <dcterms:modified xsi:type="dcterms:W3CDTF">2013-12-23T23:15:00Z</dcterms:modified>
  <cp:category/>
</cp:coreProperties>
</file>