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La campagne des apéritifs de septembre</w:t>
      </w:r>
    </w:p>
    <w:p>
      <w:pPr>
        <w:pStyle w:val="Subtitle"/>
      </w:pPr>
      <w:r>
        <w:t>Brief interne pour Léa et Karim • scénario de septembre 2026</w:t>
      </w:r>
    </w:p>
    <w:p>
      <w:r>
        <w:t>Nous voulons remettre le coffret Découverte au centre de la communication. La campagne doit expliquer ce que contient le coffret et donner une occasion concrète de le partager. Nous disposons de 1 500 € et de quatre semaines ; aucun nouveau produit n’est lancé.</w:t>
      </w:r>
    </w:p>
    <w:p>
      <w:pPr>
        <w:pStyle w:val="Heading1"/>
      </w:pPr>
      <w:r>
        <w:t>Objectif et mesure</w:t>
      </w:r>
    </w:p>
    <w:p>
      <w:r>
        <w:t>Objectif de travail : obtenir 30 commandes attribuées à la campagne sur le mois et cinq demandes de revendeurs qualifiées. Ce sont des cibles fictives à tester, pas une promesse de résultat. Comparer le coût, la valeur des commandes et les retours clients avant de poursuivre.</w:t>
      </w:r>
    </w:p>
    <w:p>
      <w:pPr>
        <w:pStyle w:val="Heading1"/>
      </w:pPr>
      <w:r>
        <w:t>Public principal et angle</w:t>
      </w:r>
    </w:p>
    <w:p>
      <w:r>
        <w:t>Justine prépare un apéritif ou cherche un cadeau simple à apporter. Elle veut comprendre les goûts, le contenu exact, le prix et la livraison. Angle : quatre façons de partager la cerise autour d’une même table.</w:t>
      </w:r>
    </w:p>
    <w:tbl>
      <w:tblPr>
        <w:tblW w:type="auto" w:w="0"/>
        <w:tblLayout w:type="fixed"/>
        <w:tblLook w:firstColumn="1" w:firstRow="1" w:lastColumn="0" w:lastRow="0" w:noHBand="0" w:noVBand="1" w:val="04A0"/>
      </w:tblPr>
      <w:tblGrid>
        <w:gridCol w:w="2880"/>
        <w:gridCol w:w="7200"/>
      </w:tblGrid>
      <w:tr>
        <w:trPr>
          <w:cantSplit/>
          <w:tblHeader/>
        </w:trPr>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À montrer</w:t>
            </w:r>
          </w:p>
        </w:tc>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À écrire sans ambiguïté</w:t>
            </w:r>
          </w:p>
        </w:tc>
      </w:tr>
      <w:tr>
        <w:trPr>
          <w:cantSplit/>
        </w:trPr>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Coffret ouvert</w:t>
            </w:r>
          </w:p>
        </w:tc>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12 bouteilles de 33 cl, trois de chaque recette.</w:t>
            </w:r>
          </w:p>
        </w:tc>
      </w:tr>
      <w:tr>
        <w:trPr>
          <w:cantSplit/>
        </w:trPr>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Quatre verres</w:t>
            </w:r>
          </w:p>
        </w:tc>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Originale, Cerise Citron-Basilic, Cerise Hibiscus, Cerise Gingembre Doux.</w:t>
            </w:r>
          </w:p>
        </w:tc>
      </w:tr>
      <w:tr>
        <w:trPr>
          <w:cantSplit/>
        </w:trPr>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Prix et livraison</w:t>
            </w:r>
          </w:p>
        </w:tc>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42 € ; livraison Belgique 5,90 €, offerte dès 45 € hors consigne.</w:t>
            </w:r>
          </w:p>
        </w:tc>
      </w:tr>
    </w:tbl>
    <w:p>
      <w:pPr>
        <w:spacing w:after="0"/>
      </w:pPr>
    </w:p>
    <w:p>
      <w:pPr>
        <w:pStyle w:val="Heading1"/>
      </w:pPr>
      <w:r>
        <w:t>Budget maximal</w:t>
      </w:r>
    </w:p>
    <w:tbl>
      <w:tblPr>
        <w:tblW w:type="auto" w:w="0"/>
        <w:tblLayout w:type="fixed"/>
        <w:tblLook w:firstColumn="1" w:firstRow="1" w:lastColumn="0" w:lastRow="0" w:noHBand="0" w:noVBand="1" w:val="04A0"/>
      </w:tblPr>
      <w:tblGrid>
        <w:gridCol w:w="7200"/>
        <w:gridCol w:w="2880"/>
      </w:tblGrid>
      <w:tr>
        <w:trPr>
          <w:cantSplit/>
          <w:tblHeader/>
        </w:trPr>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Poste</w:t>
            </w:r>
          </w:p>
        </w:tc>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Montant</w:t>
            </w:r>
          </w:p>
        </w:tc>
      </w:tr>
      <w:tr>
        <w:trPr>
          <w:cantSplit/>
        </w:trPr>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Publicité Meta</w:t>
            </w:r>
          </w:p>
        </w:tc>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600 €</w:t>
            </w:r>
          </w:p>
        </w:tc>
      </w:tr>
      <w:tr>
        <w:trPr>
          <w:cantSplit/>
        </w:trPr>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Recherche sponsorisée</w:t>
            </w:r>
          </w:p>
        </w:tc>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350 €</w:t>
            </w:r>
          </w:p>
        </w:tc>
      </w:tr>
      <w:tr>
        <w:trPr>
          <w:cantSplit/>
        </w:trPr>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Contenus</w:t>
            </w:r>
          </w:p>
        </w:tc>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250 €</w:t>
            </w:r>
          </w:p>
        </w:tc>
      </w:tr>
      <w:tr>
        <w:trPr>
          <w:cantSplit/>
        </w:trPr>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E-mail</w:t>
            </w:r>
          </w:p>
        </w:tc>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100 €</w:t>
            </w:r>
          </w:p>
        </w:tc>
      </w:tr>
      <w:tr>
        <w:trPr>
          <w:cantSplit/>
        </w:trPr>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Partenariats locaux</w:t>
            </w:r>
          </w:p>
        </w:tc>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200 €</w:t>
            </w:r>
          </w:p>
        </w:tc>
      </w:tr>
      <w:tr>
        <w:trPr>
          <w:cantSplit/>
        </w:trPr>
        <w:tc>
          <w:tcPr>
            <w:tcW w:type="dxa" w:w="720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Total</w:t>
            </w:r>
          </w:p>
        </w:tc>
        <w:tc>
          <w:tcPr>
            <w:tcW w:type="dxa" w:w="28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1 500 €</w:t>
            </w:r>
          </w:p>
        </w:tc>
      </w:tr>
    </w:tbl>
    <w:p>
      <w:pPr>
        <w:spacing w:after="0"/>
      </w:pPr>
    </w:p>
    <w:p>
      <w:r>
        <w:br w:type="page"/>
      </w:r>
    </w:p>
    <w:p>
      <w:pPr>
        <w:pStyle w:val="Heading1"/>
      </w:pPr>
      <w:r>
        <w:t>Livrables attendus</w:t>
      </w:r>
    </w:p>
    <w:p>
      <w:pPr>
        <w:pStyle w:val="ListBullet"/>
      </w:pPr>
      <w:r>
        <w:t>Trois publications : découverte du coffret, présentation des goûts et idée d’apéritif. Une version courte et une version développée par publication.</w:t>
      </w:r>
    </w:p>
    <w:p>
      <w:pPr>
        <w:pStyle w:val="ListBullet"/>
      </w:pPr>
      <w:r>
        <w:t>Deux visuels : packshot lisible et scène d’usage. Déclinaison carrée et verticale de chacun.</w:t>
      </w:r>
    </w:p>
    <w:p>
      <w:pPr>
        <w:pStyle w:val="ListBullet"/>
      </w:pPr>
      <w:r>
        <w:t>Une séquence de trois stories avec une question sur le goût préféré et un lien vers le coffret.</w:t>
      </w:r>
    </w:p>
    <w:p>
      <w:pPr>
        <w:pStyle w:val="ListBullet"/>
      </w:pPr>
      <w:r>
        <w:t>Un e-mail pour les abonnés concernés : objet, pré-en-tête, texte et bouton.</w:t>
      </w:r>
    </w:p>
    <w:p>
      <w:pPr>
        <w:pStyle w:val="ListBullet"/>
      </w:pPr>
      <w:r>
        <w:t>Une page de présentation avec prix, composition, livraison et réponse aux questions fréquentes.</w:t>
      </w:r>
    </w:p>
    <w:p>
      <w:pPr>
        <w:pStyle w:val="Heading1"/>
      </w:pPr>
      <w:r>
        <w:t>Organisation proposée</w:t>
      </w:r>
    </w:p>
    <w:tbl>
      <w:tblPr>
        <w:tblW w:type="auto" w:w="0"/>
        <w:tblLayout w:type="fixed"/>
        <w:tblLook w:firstColumn="1" w:firstRow="1" w:lastColumn="0" w:lastRow="0" w:noHBand="0" w:noVBand="1" w:val="04A0"/>
      </w:tblPr>
      <w:tblGrid>
        <w:gridCol w:w="1440"/>
        <w:gridCol w:w="6480"/>
        <w:gridCol w:w="2160"/>
      </w:tblGrid>
      <w:tr>
        <w:trPr>
          <w:cantSplit/>
          <w:tblHeader/>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Semaine</w:t>
            </w:r>
          </w:p>
        </w:tc>
        <w:tc>
          <w:tcPr>
            <w:tcW w:type="dxa" w:w="648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Travail</w:t>
            </w:r>
          </w:p>
        </w:tc>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shd w:fill="263548"/>
          </w:tcPr>
          <w:p>
            <w:pPr>
              <w:spacing w:after="40"/>
            </w:pPr>
            <w:r>
              <w:rPr>
                <w:b/>
                <w:color w:val="FFFFFF"/>
                <w:sz w:val="18"/>
              </w:rPr>
              <w:t>Responsable</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1</w:t>
            </w:r>
          </w:p>
        </w:tc>
        <w:tc>
          <w:tcPr>
            <w:tcW w:type="dxa" w:w="64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Brief, vérification du catalogue, textes et visuels</w:t>
            </w:r>
          </w:p>
        </w:tc>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Léa</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2</w:t>
            </w:r>
          </w:p>
        </w:tc>
        <w:tc>
          <w:tcPr>
            <w:tcW w:type="dxa" w:w="64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Publication et test de deux accroches</w:t>
            </w:r>
          </w:p>
        </w:tc>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Karim</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3</w:t>
            </w:r>
          </w:p>
        </w:tc>
        <w:tc>
          <w:tcPr>
            <w:tcW w:type="dxa" w:w="64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Ajustement des contenus et réponses aux questions</w:t>
            </w:r>
          </w:p>
        </w:tc>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Léa</w:t>
            </w:r>
          </w:p>
        </w:tc>
      </w:tr>
      <w:tr>
        <w:trPr>
          <w:cantSplit/>
        </w:trPr>
        <w:tc>
          <w:tcPr>
            <w:tcW w:type="dxa" w:w="144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4</w:t>
            </w:r>
          </w:p>
        </w:tc>
        <w:tc>
          <w:tcPr>
            <w:tcW w:type="dxa" w:w="648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Bilan et décision pour octobre</w:t>
            </w:r>
          </w:p>
        </w:tc>
        <w:tc>
          <w:tcPr>
            <w:tcW w:type="dxa" w:w="2160"/>
            <w:tcBorders>
              <w:top w:val="single" w:sz="4" w:color="D9D9D9"/>
              <w:left w:val="single" w:sz="4" w:color="D9D9D9"/>
              <w:bottom w:val="single" w:sz="4" w:color="D9D9D9"/>
              <w:right w:val="single" w:sz="4" w:color="D9D9D9"/>
            </w:tcBorders>
            <w:tcMar>
              <w:top w:w="95" w:type="dxa"/>
              <w:left w:w="95" w:type="dxa"/>
              <w:bottom w:w="95" w:type="dxa"/>
              <w:right w:w="95" w:type="dxa"/>
            </w:tcMar>
          </w:tcPr>
          <w:p>
            <w:pPr>
              <w:spacing w:after="40"/>
            </w:pPr>
            <w:r>
              <w:rPr>
                <w:b w:val="0"/>
                <w:color w:val="222222"/>
                <w:sz w:val="18"/>
              </w:rPr>
              <w:t>Léa et Karim</w:t>
            </w:r>
          </w:p>
        </w:tc>
      </w:tr>
    </w:tbl>
    <w:p>
      <w:pPr>
        <w:spacing w:after="0"/>
      </w:pPr>
    </w:p>
    <w:p>
      <w:pPr>
        <w:pStyle w:val="Heading1"/>
      </w:pPr>
      <w:r>
        <w:t>Validation avant diffusion</w:t>
      </w:r>
    </w:p>
    <w:p>
      <w:r>
        <w:t>Léa valide les promesses, le ton et la lisibilité. Karim vérifie le lien, les prix, le format sur téléphone et les paramètres de suivi. Aucun envoi ou achat média réel n’est autorisé par ce brief pédagogique.</w:t>
      </w:r>
    </w:p>
    <w:p>
      <w:pPr>
        <w:pStyle w:val="Heading1"/>
      </w:pPr>
      <w:r>
        <w:t>Questions encore ouvertes</w:t>
      </w:r>
    </w:p>
    <w:p>
      <w:r>
        <w:t>Quelle accroche permet de comprendre le coffret le plus vite ? Le prix livré est-il assez visible ? Faut-il montrer les bouteilles seules ou la scène de partage ? Les réponses doivent venir du test, pas de l’assurance de l’IA.</w:t>
      </w:r>
    </w:p>
    <w:sectPr w:rsidR="00FC693F" w:rsidRPr="0006063C" w:rsidSect="00034616">
      <w:headerReference w:type="default" r:id="rId9"/>
      <w:footerReference w:type="default" r:id="rId10"/>
      <w:pgSz w:w="12240" w:h="15840"/>
      <w:pgMar w:top="936" w:right="1080" w:bottom="936" w:left="1080" w:header="403"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Entreprise et données fictives • support pédagogique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CAP CERISE   /   DOSSIER ENTREPRISE   /   SEPTEMBRE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40" w:lineRule="auto"/>
      <w:contextualSpacing/>
    </w:pPr>
    <w:rPr>
      <w:rFonts w:asciiTheme="majorHAnsi" w:eastAsiaTheme="majorEastAsia" w:hAnsiTheme="majorHAnsi" w:cstheme="majorBidi" w:ascii="Arial" w:hAnsi="Arial"/>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campagne des apéritifs de septembre</dc:title>
  <dc:subject/>
  <dc:creator>CAP CERISE — cas pédagogique</dc:creator>
  <cp:keywords/>
  <dc:description>generated by python-docx</dc:description>
  <cp:lastModifiedBy/>
  <cp:revision>1</cp:revision>
  <dcterms:created xsi:type="dcterms:W3CDTF">2013-12-23T23:15:00Z</dcterms:created>
  <dcterms:modified xsi:type="dcterms:W3CDTF">2013-12-23T23:15:00Z</dcterms:modified>
  <cp:category/>
</cp:coreProperties>
</file>